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Calibri" w:cs="Calibri" w:eastAsia="Calibri" w:hAnsi="Calibri"/>
          <w:i/>
          <w:iCs/>
          <w:color w:val="888888"/>
          <w:sz w:val="16"/>
          <w:szCs w:val="16"/>
        </w:rPr>
        <w:t xml:space="preserve">Document 5 of 5 — Case File: GRB–YBF Cannabis Supply</w:t>
      </w:r>
    </w:p>
    <w:p>
      <w:pPr>
        <w:pStyle w:val="Heading1"/>
        <w:spacing w:after="200"/>
      </w:pPr>
      <w:r>
        <w:rPr>
          <w:rFonts w:ascii="Calibri" w:cs="Calibri" w:eastAsia="Calibri" w:hAnsi="Calibri"/>
          <w:b/>
          <w:bCs/>
          <w:sz w:val="26"/>
          <w:szCs w:val="26"/>
        </w:rPr>
        <w:t xml:space="preserve">Internal Approval Sheet (Delegation of Authority)</w:t>
      </w:r>
    </w:p>
    <w:p>
      <w:pPr>
        <w:spacing w:after="110"/>
        <w:jc w:val="both"/>
      </w:pPr>
      <w:r>
        <w:rPr>
          <w:rFonts w:ascii="Calibri" w:cs="Calibri" w:eastAsia="Calibri" w:hAnsi="Calibri"/>
          <w:sz w:val="20"/>
          <w:szCs w:val="20"/>
        </w:rPr>
        <w:t xml:space="preserve">Entity: Yeşil Bulut Farma Dış Ticaret A.Ş.   |   Internal Ref: PROC-2026-0447   |   Related Counterparty: Grasbahn GmbH</w:t>
      </w:r>
    </w:p>
    <w:p>
      <w:pPr>
        <w:spacing w:after="90" w:before="220"/>
      </w:pPr>
      <w:r>
        <w:rPr>
          <w:rFonts w:ascii="Calibri" w:cs="Calibri" w:eastAsia="Calibri" w:hAnsi="Calibri"/>
          <w:b/>
          <w:bCs/>
          <w:sz w:val="21"/>
          <w:szCs w:val="21"/>
        </w:rPr>
        <w:t xml:space="preserve">Delegation of Authority — Reference Table (Procurement Policy §4.2)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3200"/>
            <w:shd w:fill="F2F2F2" w:val="clear"/>
          </w:tcPr>
          <w:p>
            <w:r>
              <w:rPr>
                <w:rFonts w:ascii="Calibri" w:cs="Calibri" w:eastAsia="Calibri" w:hAnsi="Calibri"/>
                <w:b/>
                <w:bCs/>
                <w:sz w:val="20"/>
                <w:szCs w:val="20"/>
              </w:rPr>
              <w:t xml:space="preserve">Up to €500,000</w:t>
            </w:r>
          </w:p>
        </w:tc>
        <w:tc>
          <w:tcPr>
            <w:tcW w:type="dxa" w:w="5800"/>
          </w:tcPr>
          <w:p>
            <w:r>
              <w:rPr>
                <w:rFonts w:ascii="Calibri" w:cs="Calibri" w:eastAsia="Calibri" w:hAnsi="Calibri"/>
                <w:sz w:val="20"/>
                <w:szCs w:val="20"/>
              </w:rPr>
              <w:t xml:space="preserve">Head of Procurement</w:t>
            </w:r>
          </w:p>
        </w:tc>
      </w:tr>
      <w:tr>
        <w:tc>
          <w:tcPr>
            <w:tcW w:type="dxa" w:w="3200"/>
            <w:shd w:fill="F2F2F2" w:val="clear"/>
          </w:tcPr>
          <w:p>
            <w:r>
              <w:rPr>
                <w:rFonts w:ascii="Calibri" w:cs="Calibri" w:eastAsia="Calibri" w:hAnsi="Calibri"/>
                <w:b/>
                <w:bCs/>
                <w:sz w:val="20"/>
                <w:szCs w:val="20"/>
              </w:rPr>
              <w:t xml:space="preserve">€500,001 – €1,000,000</w:t>
            </w:r>
          </w:p>
        </w:tc>
        <w:tc>
          <w:tcPr>
            <w:tcW w:type="dxa" w:w="5800"/>
          </w:tcPr>
          <w:p>
            <w:r>
              <w:rPr>
                <w:rFonts w:ascii="Calibri" w:cs="Calibri" w:eastAsia="Calibri" w:hAnsi="Calibri"/>
                <w:sz w:val="20"/>
                <w:szCs w:val="20"/>
              </w:rPr>
              <w:t xml:space="preserve">Regional Procurement Director</w:t>
            </w:r>
          </w:p>
        </w:tc>
      </w:tr>
      <w:tr>
        <w:tc>
          <w:tcPr>
            <w:tcW w:type="dxa" w:w="3200"/>
            <w:shd w:fill="F2F2F2" w:val="clear"/>
          </w:tcPr>
          <w:p>
            <w:r>
              <w:rPr>
                <w:rFonts w:ascii="Calibri" w:cs="Calibri" w:eastAsia="Calibri" w:hAnsi="Calibri"/>
                <w:b/>
                <w:bCs/>
                <w:sz w:val="20"/>
                <w:szCs w:val="20"/>
              </w:rPr>
              <w:t xml:space="preserve">€1,000,001 – €5,000,000</w:t>
            </w:r>
          </w:p>
        </w:tc>
        <w:tc>
          <w:tcPr>
            <w:tcW w:type="dxa" w:w="5800"/>
          </w:tcPr>
          <w:p>
            <w:r>
              <w:rPr>
                <w:rFonts w:ascii="Calibri" w:cs="Calibri" w:eastAsia="Calibri" w:hAnsi="Calibri"/>
                <w:sz w:val="20"/>
                <w:szCs w:val="20"/>
              </w:rPr>
              <w:t xml:space="preserve">Chief Procurement Officer + CFO (joint approval)</w:t>
            </w:r>
          </w:p>
        </w:tc>
      </w:tr>
      <w:tr>
        <w:tc>
          <w:tcPr>
            <w:tcW w:type="dxa" w:w="3200"/>
            <w:shd w:fill="F2F2F2" w:val="clear"/>
          </w:tcPr>
          <w:p>
            <w:r>
              <w:rPr>
                <w:rFonts w:ascii="Calibri" w:cs="Calibri" w:eastAsia="Calibri" w:hAnsi="Calibri"/>
                <w:b/>
                <w:bCs/>
                <w:sz w:val="20"/>
                <w:szCs w:val="20"/>
              </w:rPr>
              <w:t xml:space="preserve">Above €5,000,000</w:t>
            </w:r>
          </w:p>
        </w:tc>
        <w:tc>
          <w:tcPr>
            <w:tcW w:type="dxa" w:w="5800"/>
          </w:tcPr>
          <w:p>
            <w:r>
              <w:rPr>
                <w:rFonts w:ascii="Calibri" w:cs="Calibri" w:eastAsia="Calibri" w:hAnsi="Calibri"/>
                <w:sz w:val="20"/>
                <w:szCs w:val="20"/>
              </w:rPr>
              <w:t xml:space="preserve">Board of Directors</w:t>
            </w:r>
          </w:p>
        </w:tc>
      </w:tr>
    </w:tbl>
    <w:p>
      <w:pPr>
        <w:spacing w:after="110"/>
        <w:jc w:val="both"/>
      </w:pPr>
      <w:r>
        <w:rPr>
          <w:rFonts w:ascii="Calibri" w:cs="Calibri" w:eastAsia="Calibri" w:hAnsi="Calibri"/>
          <w:sz w:val="20"/>
          <w:szCs w:val="20"/>
        </w:rPr>
        <w:t xml:space="preserve"/>
      </w:r>
    </w:p>
    <w:p>
      <w:pPr>
        <w:spacing w:after="90" w:before="220"/>
      </w:pPr>
      <w:r>
        <w:rPr>
          <w:rFonts w:ascii="Calibri" w:cs="Calibri" w:eastAsia="Calibri" w:hAnsi="Calibri"/>
          <w:b/>
          <w:bCs/>
          <w:sz w:val="21"/>
          <w:szCs w:val="21"/>
        </w:rPr>
        <w:t xml:space="preserve">Approval Record — Ref. PROC-2026-0447</w:t>
      </w:r>
    </w:p>
    <w:p>
      <w:pPr>
        <w:spacing w:after="110"/>
        <w:jc w:val="both"/>
      </w:pPr>
      <w:r>
        <w:rPr>
          <w:rFonts w:ascii="Calibri" w:cs="Calibri" w:eastAsia="Calibri" w:hAnsi="Calibri"/>
          <w:sz w:val="20"/>
          <w:szCs w:val="20"/>
        </w:rPr>
        <w:t xml:space="preserve">Approval Type: Commercial Approval, Phase 1 (Pilot Shipment), ahead of finalisation of full commercial terms.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5800"/>
      </w:tblGrid>
      <w:tr>
        <w:tc>
          <w:tcPr>
            <w:tcW w:type="dxa" w:w="3200"/>
            <w:shd w:fill="F2F2F2" w:val="clear"/>
          </w:tcPr>
          <w:p>
            <w:r>
              <w:rPr>
                <w:rFonts w:ascii="Calibri" w:cs="Calibri" w:eastAsia="Calibri" w:hAnsi="Calibri"/>
                <w:b/>
                <w:bCs/>
                <w:sz w:val="20"/>
                <w:szCs w:val="20"/>
              </w:rPr>
              <w:t xml:space="preserve">Approved Unit Price</w:t>
            </w:r>
          </w:p>
        </w:tc>
        <w:tc>
          <w:tcPr>
            <w:tcW w:type="dxa" w:w="5800"/>
          </w:tcPr>
          <w:p>
            <w:r>
              <w:rPr>
                <w:rFonts w:ascii="Calibri" w:cs="Calibri" w:eastAsia="Calibri" w:hAnsi="Calibri"/>
                <w:sz w:val="20"/>
                <w:szCs w:val="20"/>
              </w:rPr>
              <w:t xml:space="preserve">€4,000 / kg</w:t>
            </w:r>
          </w:p>
        </w:tc>
      </w:tr>
      <w:tr>
        <w:tc>
          <w:tcPr>
            <w:tcW w:type="dxa" w:w="3200"/>
            <w:shd w:fill="F2F2F2" w:val="clear"/>
          </w:tcPr>
          <w:p>
            <w:r>
              <w:rPr>
                <w:rFonts w:ascii="Calibri" w:cs="Calibri" w:eastAsia="Calibri" w:hAnsi="Calibri"/>
                <w:b/>
                <w:bCs/>
                <w:sz w:val="20"/>
                <w:szCs w:val="20"/>
              </w:rPr>
              <w:t xml:space="preserve">Approved Volume (Phase 1)</w:t>
            </w:r>
          </w:p>
        </w:tc>
        <w:tc>
          <w:tcPr>
            <w:tcW w:type="dxa" w:w="5800"/>
          </w:tcPr>
          <w:p>
            <w:r>
              <w:rPr>
                <w:rFonts w:ascii="Calibri" w:cs="Calibri" w:eastAsia="Calibri" w:hAnsi="Calibri"/>
                <w:sz w:val="20"/>
                <w:szCs w:val="20"/>
              </w:rPr>
              <w:t xml:space="preserve">250 kg</w:t>
            </w:r>
          </w:p>
        </w:tc>
      </w:tr>
      <w:tr>
        <w:tc>
          <w:tcPr>
            <w:tcW w:type="dxa" w:w="3200"/>
            <w:shd w:fill="F2F2F2" w:val="clear"/>
          </w:tcPr>
          <w:p>
            <w:r>
              <w:rPr>
                <w:rFonts w:ascii="Calibri" w:cs="Calibri" w:eastAsia="Calibri" w:hAnsi="Calibri"/>
                <w:b/>
                <w:bCs/>
                <w:sz w:val="20"/>
                <w:szCs w:val="20"/>
              </w:rPr>
              <w:t xml:space="preserve">Approval Basis</w:t>
            </w:r>
          </w:p>
        </w:tc>
        <w:tc>
          <w:tcPr>
            <w:tcW w:type="dxa" w:w="5800"/>
          </w:tcPr>
          <w:p>
            <w:r>
              <w:rPr>
                <w:rFonts w:ascii="Calibri" w:cs="Calibri" w:eastAsia="Calibri" w:hAnsi="Calibri"/>
                <w:sz w:val="20"/>
                <w:szCs w:val="20"/>
              </w:rPr>
              <w:t xml:space="preserve">Initial pilot shipment under the Parties' commercial discussions; full annual commitment to be confirmed upon finalisation of the Commercial Term Sheet (Schedule 2).</w:t>
            </w:r>
          </w:p>
        </w:tc>
      </w:tr>
      <w:tr>
        <w:tc>
          <w:tcPr>
            <w:tcW w:type="dxa" w:w="3200"/>
            <w:shd w:fill="F2F2F2" w:val="clear"/>
          </w:tcPr>
          <w:p>
            <w:r>
              <w:rPr>
                <w:rFonts w:ascii="Calibri" w:cs="Calibri" w:eastAsia="Calibri" w:hAnsi="Calibri"/>
                <w:b/>
                <w:bCs/>
                <w:sz w:val="20"/>
                <w:szCs w:val="20"/>
              </w:rPr>
              <w:t xml:space="preserve">Approved By</w:t>
            </w:r>
          </w:p>
        </w:tc>
        <w:tc>
          <w:tcPr>
            <w:tcW w:type="dxa" w:w="5800"/>
          </w:tcPr>
          <w:p>
            <w:r>
              <w:rPr>
                <w:rFonts w:ascii="Calibri" w:cs="Calibri" w:eastAsia="Calibri" w:hAnsi="Calibri"/>
                <w:sz w:val="20"/>
                <w:szCs w:val="20"/>
              </w:rPr>
              <w:t xml:space="preserve">Ms. Nergis Yeşiltepe, Head of Procurement</w:t>
            </w:r>
          </w:p>
        </w:tc>
      </w:tr>
      <w:tr>
        <w:tc>
          <w:tcPr>
            <w:tcW w:type="dxa" w:w="3200"/>
            <w:shd w:fill="F2F2F2" w:val="clear"/>
          </w:tcPr>
          <w:p>
            <w:r>
              <w:rPr>
                <w:rFonts w:ascii="Calibri" w:cs="Calibri" w:eastAsia="Calibri" w:hAnsi="Calibri"/>
                <w:b/>
                <w:bCs/>
                <w:sz w:val="20"/>
                <w:szCs w:val="20"/>
              </w:rPr>
              <w:t xml:space="preserve">Date of Approval</w:t>
            </w:r>
          </w:p>
        </w:tc>
        <w:tc>
          <w:tcPr>
            <w:tcW w:type="dxa" w:w="5800"/>
          </w:tcPr>
          <w:p>
            <w:r>
              <w:rPr>
                <w:rFonts w:ascii="Calibri" w:cs="Calibri" w:eastAsia="Calibri" w:hAnsi="Calibri"/>
                <w:sz w:val="20"/>
                <w:szCs w:val="20"/>
              </w:rPr>
              <w:t xml:space="preserve">05 September 2026</w:t>
            </w:r>
          </w:p>
        </w:tc>
      </w:tr>
      <w:tr>
        <w:tc>
          <w:tcPr>
            <w:tcW w:type="dxa" w:w="3200"/>
            <w:shd w:fill="F2F2F2" w:val="clear"/>
          </w:tcPr>
          <w:p>
            <w:r>
              <w:rPr>
                <w:rFonts w:ascii="Calibri" w:cs="Calibri" w:eastAsia="Calibri" w:hAnsi="Calibri"/>
                <w:b/>
                <w:bCs/>
                <w:sz w:val="20"/>
                <w:szCs w:val="20"/>
              </w:rPr>
              <w:t xml:space="preserve">Status</w:t>
            </w:r>
          </w:p>
        </w:tc>
        <w:tc>
          <w:tcPr>
            <w:tcW w:type="dxa" w:w="5800"/>
          </w:tcPr>
          <w:p>
            <w:r>
              <w:rPr>
                <w:rFonts w:ascii="Calibri" w:cs="Calibri" w:eastAsia="Calibri" w:hAnsi="Calibri"/>
                <w:sz w:val="20"/>
                <w:szCs w:val="20"/>
              </w:rPr>
              <w:t xml:space="preserve">APPROVED — cleared for signature of the Master Supply Agreement</w:t>
            </w:r>
          </w:p>
        </w:tc>
      </w:tr>
    </w:tbl>
    <w:p>
      <w:pPr>
        <w:pBdr>
          <w:top w:val="single" w:color="AAAAAA" w:sz="4"/>
        </w:pBdr>
        <w:spacing w:before="300"/>
      </w:pPr>
      <w:r>
        <w:rPr>
          <w:rFonts w:ascii="Calibri" w:cs="Calibri" w:eastAsia="Calibri" w:hAnsi="Calibri"/>
          <w:i/>
          <w:iCs/>
          <w:color w:val="666666"/>
          <w:sz w:val="16"/>
          <w:szCs w:val="16"/>
        </w:rPr>
        <w:t xml:space="preserve">This approval record predates the Commercial Term Sheet (Schedule 2), finalised 10 September 2026. Confirm that the final Annual Contract Value, volume and approver level in that Schedule remain within the scope of this approval before proceeding to signature.</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2026-09-25T21:13:44.235Z</dcterms:created>
  <dcterms:modified xsi:type="dcterms:W3CDTF">2026-09-25T21:13:44.235Z</dcterms:modified>
</cp:coreProperties>
</file>

<file path=docProps/custom.xml><?xml version="1.0" encoding="utf-8"?>
<Properties xmlns="http://schemas.openxmlformats.org/officeDocument/2006/custom-properties" xmlns:vt="http://schemas.openxmlformats.org/officeDocument/2006/docPropsVTypes"/>
</file>