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Calibri" w:cs="Calibri" w:eastAsia="Calibri" w:hAnsi="Calibri"/>
          <w:i/>
          <w:iCs/>
          <w:color w:val="888888"/>
          <w:sz w:val="16"/>
          <w:szCs w:val="16"/>
        </w:rPr>
        <w:t xml:space="preserve">Document 4 (Schedule 2 to MSA) of 5 — Case File: GRB–YBF Cannabis Supply</w:t>
      </w:r>
    </w:p>
    <w:p>
      <w:pPr>
        <w:pStyle w:val="Heading1"/>
        <w:spacing w:after="20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Commercial Term Sheet / Pricing Schedule</w:t>
      </w:r>
    </w:p>
    <w:p>
      <w:pPr>
        <w:spacing w:after="11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Outcome of commercial negotiations between Grasbahn GmbH and Yeşil Bulut Farma Dış Ticaret A.Ş., finalised 10 September 2026 (non-binding except where expressly incorporated by reference into the Master Supply Agreement).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00"/>
      </w:tblGrid>
      <w:tr>
        <w:tc>
          <w:tcPr>
            <w:tcW w:type="dxa" w:w="3200"/>
            <w:shd w:fill="F2F2F2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Product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Medical cannabis raw extract, standardised THC/CBD ratio per Schedule 1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Unit Price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€4,000 / kg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Contract Value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€2,400,000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Volume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600 kg (extract equivalent)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Distribution Territory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Turkey (domestic pharmaceutical market, via licensed pharmacy chains) and re-export to EU member states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Incoterms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FOB (Free On Board), Port of Hamburg, Germany, Incoterms 2020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Port of Discharge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Ambarlı Port, Istanbul, Turkey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First Shipment Date (FOB Hamburg)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15 October 2026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Estimated Arrival (Ambarlı Port, Istanbul)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29 October 2026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Payment Terms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30% advance, 70% on delivery, 45-day credit thereafter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Liability Cap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Three (3) times the Annual Contract Value, per prior agreement in negotiation minutes dated 28 August 2026</w:t>
            </w:r>
          </w:p>
        </w:tc>
      </w:tr>
    </w:tbl>
    <w:p>
      <w:pPr>
        <w:spacing w:after="11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top w:val="single" w:color="AAAAAA" w:sz="4"/>
        </w:pBdr>
        <w:spacing w:before="300"/>
      </w:pPr>
      <w:r>
        <w:rPr>
          <w:rFonts w:ascii="Calibri" w:cs="Calibri" w:eastAsia="Calibri" w:hAnsi="Calibri"/>
          <w:i/>
          <w:iCs/>
          <w:color w:val="666666"/>
          <w:sz w:val="16"/>
          <w:szCs w:val="16"/>
        </w:rPr>
        <w:t xml:space="preserve">This Term Sheet is incorporated into the MSA as "Schedule 2 — Commercial Terms".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2026-09-25T21:13:44.231Z</dcterms:created>
  <dcterms:modified xsi:type="dcterms:W3CDTF">2026-09-25T21:13:44.231Z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