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Calibri" w:cs="Calibri" w:eastAsia="Calibri" w:hAnsi="Calibri"/>
          <w:i/>
          <w:iCs/>
          <w:color w:val="888888"/>
          <w:sz w:val="16"/>
          <w:szCs w:val="16"/>
        </w:rPr>
        <w:t xml:space="preserve">Document 3 of 5 — Case File: GRB–YBF Cannabis Supply</w:t>
      </w:r>
    </w:p>
    <w:p>
      <w:pPr>
        <w:pStyle w:val="Heading1"/>
        <w:spacing w:after="200"/>
      </w:pPr>
      <w:r>
        <w:rPr>
          <w:rFonts w:ascii="Calibri" w:cs="Calibri" w:eastAsia="Calibri" w:hAnsi="Calibri"/>
          <w:b/>
          <w:bCs/>
          <w:sz w:val="26"/>
          <w:szCs w:val="26"/>
        </w:rPr>
        <w:t xml:space="preserve">Master Supply Agreement</w:t>
      </w:r>
    </w:p>
    <w:p>
      <w:pPr>
        <w:spacing w:after="110"/>
        <w:jc w:val="both"/>
      </w:pPr>
      <w:r>
        <w:rPr>
          <w:rFonts w:ascii="Calibri" w:cs="Calibri" w:eastAsia="Calibri" w:hAnsi="Calibri"/>
          <w:sz w:val="20"/>
          <w:szCs w:val="20"/>
        </w:rPr>
        <w:t xml:space="preserve">This Master Supply Agreement ("Agreement") is entered into as of 12 September 2026 ("Effective Date") by and between Grasbahn GmbH ("Supplier") and Yeşil Bulut Farma Dış Ticaret A.Ş. ("Buyer"), each a "Party" and together the "Parties".</w:t>
      </w:r>
    </w:p>
    <w:p>
      <w:pPr>
        <w:spacing w:after="110"/>
        <w:jc w:val="both"/>
      </w:pPr>
      <w:r>
        <w:rPr>
          <w:rFonts w:ascii="Calibri" w:cs="Calibri" w:eastAsia="Calibri" w:hAnsi="Calibri"/>
          <w:sz w:val="20"/>
          <w:szCs w:val="20"/>
        </w:rPr>
        <w:t xml:space="preserve">WHEREAS Supplier holds valid licences to cultivate, process and export medical cannabis raw material extract under German law; WHEREAS Buyer holds an import permit issued by the Turkish Ministry of Health enabling it to import such material for processing and re-export purposes; and WHEREAS the Parties wish to establish the terms on which Supplier will supply, and Buyer will purchase, such Products on an ongoing basis, NOW THEREFORE the Parties agree as follows:</w:t>
      </w:r>
    </w:p>
    <w:p>
      <w:pPr>
        <w:spacing w:after="90" w:before="220"/>
      </w:pPr>
      <w:r>
        <w:rPr>
          <w:rFonts w:ascii="Calibri" w:cs="Calibri" w:eastAsia="Calibri" w:hAnsi="Calibri"/>
          <w:b/>
          <w:bCs/>
          <w:sz w:val="21"/>
          <w:szCs w:val="21"/>
        </w:rPr>
        <w:t xml:space="preserve">1. Definitions</w:t>
      </w:r>
    </w:p>
    <w:p>
      <w:pPr>
        <w:pStyle w:val="ListParagraph"/>
        <w:numPr>
          <w:ilvl w:val="0"/>
          <w:numId w:val="1"/>
        </w:numPr>
        <w:spacing w:after="60"/>
      </w:pPr>
      <w:r>
        <w:rPr>
          <w:rFonts w:ascii="Calibri" w:cs="Calibri" w:eastAsia="Calibri" w:hAnsi="Calibri"/>
          <w:sz w:val="20"/>
          <w:szCs w:val="20"/>
        </w:rPr>
        <w:t xml:space="preserve">"Affiliate" means any entity controlling, controlled by, or under common control with a Party.</w:t>
      </w:r>
    </w:p>
    <w:p>
      <w:pPr>
        <w:pStyle w:val="ListParagraph"/>
        <w:numPr>
          <w:ilvl w:val="0"/>
          <w:numId w:val="1"/>
        </w:numPr>
        <w:spacing w:after="60"/>
      </w:pPr>
      <w:r>
        <w:rPr>
          <w:rFonts w:ascii="Calibri" w:cs="Calibri" w:eastAsia="Calibri" w:hAnsi="Calibri"/>
          <w:sz w:val="20"/>
          <w:szCs w:val="20"/>
        </w:rPr>
        <w:t xml:space="preserve">"Applicable Laws" means all laws, regulations and governmental authorisations applicable to the cultivation, manufacture, export, import, sale and distribution of the Products, including without limitation the German Narcotics Act (BtMG) and Turkish Law No. 2313 on the Control of Narcotic Drugs.</w:t>
      </w:r>
    </w:p>
    <w:p>
      <w:pPr>
        <w:pStyle w:val="ListParagraph"/>
        <w:numPr>
          <w:ilvl w:val="0"/>
          <w:numId w:val="1"/>
        </w:numPr>
        <w:spacing w:after="60"/>
      </w:pPr>
      <w:r>
        <w:rPr>
          <w:rFonts w:ascii="Calibri" w:cs="Calibri" w:eastAsia="Calibri" w:hAnsi="Calibri"/>
          <w:sz w:val="20"/>
          <w:szCs w:val="20"/>
        </w:rPr>
        <w:t xml:space="preserve">"Products" means the medical cannabis raw material extract described in Schedule 1 (Specifications).</w:t>
      </w:r>
    </w:p>
    <w:p>
      <w:pPr>
        <w:pStyle w:val="ListParagraph"/>
        <w:numPr>
          <w:ilvl w:val="0"/>
          <w:numId w:val="1"/>
        </w:numPr>
        <w:spacing w:after="60"/>
      </w:pPr>
      <w:r>
        <w:rPr>
          <w:rFonts w:ascii="Calibri" w:cs="Calibri" w:eastAsia="Calibri" w:hAnsi="Calibri"/>
          <w:sz w:val="20"/>
          <w:szCs w:val="20"/>
        </w:rPr>
        <w:t xml:space="preserve">"Purchase Order" means a binding order for Products submitted by Buyer and accepted by Supplier under Section 5.</w:t>
      </w:r>
    </w:p>
    <w:p>
      <w:pPr>
        <w:pStyle w:val="ListParagraph"/>
        <w:numPr>
          <w:ilvl w:val="0"/>
          <w:numId w:val="1"/>
        </w:numPr>
        <w:spacing w:after="60"/>
      </w:pPr>
      <w:r>
        <w:rPr>
          <w:rFonts w:ascii="Calibri" w:cs="Calibri" w:eastAsia="Calibri" w:hAnsi="Calibri"/>
          <w:sz w:val="20"/>
          <w:szCs w:val="20"/>
        </w:rPr>
        <w:t xml:space="preserve">"Forecast" means Buyer's non-binding rolling estimate of anticipated purchase volumes.</w:t>
      </w:r>
    </w:p>
    <w:p>
      <w:pPr>
        <w:pStyle w:val="ListParagraph"/>
        <w:numPr>
          <w:ilvl w:val="0"/>
          <w:numId w:val="1"/>
        </w:numPr>
        <w:spacing w:after="60"/>
      </w:pPr>
      <w:r>
        <w:rPr>
          <w:rFonts w:ascii="Calibri" w:cs="Calibri" w:eastAsia="Calibri" w:hAnsi="Calibri"/>
          <w:sz w:val="20"/>
          <w:szCs w:val="20"/>
        </w:rPr>
        <w:t xml:space="preserve">"Schedules" means Schedule 1 (Specifications), Schedule 2 (Commercial Terms) and Schedule 3 (Regulatory and Compliance Annex), each incorporated herein by reference.</w:t>
      </w:r>
    </w:p>
    <w:p>
      <w:pPr>
        <w:spacing w:after="90" w:before="220"/>
      </w:pPr>
      <w:r>
        <w:rPr>
          <w:rFonts w:ascii="Calibri" w:cs="Calibri" w:eastAsia="Calibri" w:hAnsi="Calibri"/>
          <w:b/>
          <w:bCs/>
          <w:sz w:val="21"/>
          <w:szCs w:val="21"/>
        </w:rPr>
        <w:t xml:space="preserve">2. Scope; Sale and Purchase</w:t>
      </w:r>
    </w:p>
    <w:p>
      <w:pPr>
        <w:spacing w:after="110"/>
        <w:jc w:val="both"/>
      </w:pPr>
      <w:r>
        <w:rPr>
          <w:rFonts w:ascii="Calibri" w:cs="Calibri" w:eastAsia="Calibri" w:hAnsi="Calibri"/>
          <w:sz w:val="20"/>
          <w:szCs w:val="20"/>
        </w:rPr>
        <w:t xml:space="preserve">Subject to the terms of this Agreement, Supplier shall sell and deliver to Buyer, and Buyer shall purchase and pay for, the Products in the quantities and at the prices set out in Schedule 2.</w:t>
      </w:r>
    </w:p>
    <w:p>
      <w:pPr>
        <w:spacing w:after="90" w:before="220"/>
      </w:pPr>
      <w:r>
        <w:rPr>
          <w:rFonts w:ascii="Calibri" w:cs="Calibri" w:eastAsia="Calibri" w:hAnsi="Calibri"/>
          <w:b/>
          <w:bCs/>
          <w:sz w:val="21"/>
          <w:szCs w:val="21"/>
        </w:rPr>
        <w:t xml:space="preserve">3. Intended Use and Territory</w:t>
      </w:r>
    </w:p>
    <w:p>
      <w:pPr>
        <w:spacing w:after="110"/>
        <w:jc w:val="both"/>
      </w:pPr>
      <w:r>
        <w:rPr>
          <w:rFonts w:ascii="Calibri" w:cs="Calibri" w:eastAsia="Calibri" w:hAnsi="Calibri"/>
          <w:sz w:val="20"/>
          <w:szCs w:val="20"/>
        </w:rPr>
        <w:t xml:space="preserve">Buyer shall process the Products exclusively at its licensed facility in Istanbul, Turkey, and shall be entitled to distribute the resulting medicinal preparations within the Republic of Turkey through licensed pharmacy chains, and to export the Products and resulting preparations to European Union member states. Buyer shall be solely responsible for obtaining and maintaining all permits, licences and authorisations required for such processing, distribution and export.</w:t>
      </w:r>
    </w:p>
    <w:p>
      <w:pPr>
        <w:spacing w:after="90" w:before="220"/>
      </w:pPr>
      <w:r>
        <w:rPr>
          <w:rFonts w:ascii="Calibri" w:cs="Calibri" w:eastAsia="Calibri" w:hAnsi="Calibri"/>
          <w:b/>
          <w:bCs/>
          <w:sz w:val="21"/>
          <w:szCs w:val="21"/>
        </w:rPr>
        <w:t xml:space="preserve">4. Term and Renewal</w:t>
      </w:r>
    </w:p>
    <w:p>
      <w:pPr>
        <w:spacing w:after="110"/>
        <w:jc w:val="both"/>
      </w:pPr>
      <w:r>
        <w:rPr>
          <w:rFonts w:ascii="Calibri" w:cs="Calibri" w:eastAsia="Calibri" w:hAnsi="Calibri"/>
          <w:sz w:val="20"/>
          <w:szCs w:val="20"/>
        </w:rPr>
        <w:t xml:space="preserve">This Agreement shall commence on the Effective Date and continue for an initial term of three (3) years (the "Initial Term"), and shall automatically renew for successive one (1) year periods (each a "Renewal Term") unless either Party gives the other written notice of non-renewal at least ninety (90) days prior to the end of the then-current term.</w:t>
      </w:r>
    </w:p>
    <w:p>
      <w:pPr>
        <w:spacing w:after="90" w:before="220"/>
      </w:pPr>
      <w:r>
        <w:rPr>
          <w:rFonts w:ascii="Calibri" w:cs="Calibri" w:eastAsia="Calibri" w:hAnsi="Calibri"/>
          <w:b/>
          <w:bCs/>
          <w:sz w:val="21"/>
          <w:szCs w:val="21"/>
        </w:rPr>
        <w:t xml:space="preserve">5. Forecasts and Orders</w:t>
      </w:r>
    </w:p>
    <w:p>
      <w:pPr>
        <w:spacing w:after="110"/>
        <w:jc w:val="both"/>
      </w:pPr>
      <w:r>
        <w:rPr>
          <w:rFonts w:ascii="Calibri" w:cs="Calibri" w:eastAsia="Calibri" w:hAnsi="Calibri"/>
          <w:sz w:val="20"/>
          <w:szCs w:val="20"/>
        </w:rPr>
        <w:t xml:space="preserve">Buyer shall provide Supplier with a rolling three (3)-month non-binding volume Forecast, updated monthly, to enable Supplier's cultivation and processing team to plan production capacity accordingly. Each shipment of Products shall require a separate binding Purchase Order, submitted by Buyer at least sixty (60) days prior to the requested delivery date and specifying the quantity, requested delivery date and destination port. Supplier shall confirm or reject each Purchase Order within five (5) business days; Purchase Orders not rejected within such period shall be deemed accepted.</w:t>
      </w:r>
    </w:p>
    <w:p>
      <w:pPr>
        <w:spacing w:after="90" w:before="220"/>
      </w:pPr>
      <w:r>
        <w:rPr>
          <w:rFonts w:ascii="Calibri" w:cs="Calibri" w:eastAsia="Calibri" w:hAnsi="Calibri"/>
          <w:b/>
          <w:bCs/>
          <w:sz w:val="21"/>
          <w:szCs w:val="21"/>
        </w:rPr>
        <w:t xml:space="preserve">6. Price and Payment</w:t>
      </w:r>
    </w:p>
    <w:p>
      <w:pPr>
        <w:spacing w:after="110"/>
        <w:jc w:val="both"/>
      </w:pPr>
      <w:r>
        <w:rPr>
          <w:rFonts w:ascii="Calibri" w:cs="Calibri" w:eastAsia="Calibri" w:hAnsi="Calibri"/>
          <w:sz w:val="20"/>
          <w:szCs w:val="20"/>
        </w:rPr>
        <w:t xml:space="preserve">Prices for the Products are set out in Schedule 2 and are fixed for the Initial Term, subject to annual review by mutual written agreement. Buyer shall pay thirty percent (30%) of the applicable invoice amount as an advance payment upon confirmation of each Purchase Order, and the remaining seventy percent (70%) within forty-five (45) days of the delivery date. All amounts are exclusive of value-added tax, customs duties and other applicable levies, which shall be borne by Buyer. Amounts not paid when due shall accrue interest at a rate of eight (8) percentage points above the applicable European Central Bank base rate.</w:t>
      </w:r>
    </w:p>
    <w:p>
      <w:pPr>
        <w:spacing w:after="90" w:before="220"/>
      </w:pPr>
      <w:r>
        <w:rPr>
          <w:rFonts w:ascii="Calibri" w:cs="Calibri" w:eastAsia="Calibri" w:hAnsi="Calibri"/>
          <w:b/>
          <w:bCs/>
          <w:sz w:val="21"/>
          <w:szCs w:val="21"/>
        </w:rPr>
        <w:t xml:space="preserve">7. Delivery; Title and Risk of Loss</w:t>
      </w:r>
    </w:p>
    <w:p>
      <w:pPr>
        <w:spacing w:after="110"/>
        <w:jc w:val="both"/>
      </w:pPr>
      <w:r>
        <w:rPr>
          <w:rFonts w:ascii="Calibri" w:cs="Calibri" w:eastAsia="Calibri" w:hAnsi="Calibri"/>
          <w:sz w:val="20"/>
          <w:szCs w:val="20"/>
        </w:rPr>
        <w:t xml:space="preserve">Products shall be delivered on the Incoterms basis specified in Schedule 2 (Free On Board – FOB, Port of Hamburg, Germany, per Incoterms 2020, unless otherwise agreed in writing), for seaborne carriage to the port of discharge in Istanbul, Turkey. Risk of loss shall pass to Buyer when the Products are loaded on board the vessel nominated by Buyer at the port of shipment. Buyer shall be responsible for arranging and bearing the cost of marine carriage, cargo insurance from the port of shipment, and import clearance at the port of discharge. Products shall be packaged, labelled and transported in accordance with Applicable Laws governing the transport of narcotic and controlled substances, including any additional requirements applicable to maritime transport of controlled substances.</w:t>
      </w:r>
    </w:p>
    <w:p>
      <w:pPr>
        <w:spacing w:after="90" w:before="220"/>
      </w:pPr>
      <w:r>
        <w:rPr>
          <w:rFonts w:ascii="Calibri" w:cs="Calibri" w:eastAsia="Calibri" w:hAnsi="Calibri"/>
          <w:b/>
          <w:bCs/>
          <w:sz w:val="21"/>
          <w:szCs w:val="21"/>
        </w:rPr>
        <w:t xml:space="preserve">8. Quality; Inspection; Rejection</w:t>
      </w:r>
    </w:p>
    <w:p>
      <w:pPr>
        <w:spacing w:after="110"/>
        <w:jc w:val="both"/>
      </w:pPr>
      <w:r>
        <w:rPr>
          <w:rFonts w:ascii="Calibri" w:cs="Calibri" w:eastAsia="Calibri" w:hAnsi="Calibri"/>
          <w:sz w:val="20"/>
          <w:szCs w:val="20"/>
        </w:rPr>
        <w:t xml:space="preserve">Each batch of Products shall be accompanied by a certificate of analysis confirming conformity with the specifications set out in Schedule 1. Buyer shall inspect Products within ten (10) business days of receipt and shall notify Supplier in writing of any non-conformity within such period, failing which the Products shall be deemed accepted. For confirmed non-conforming Products, Supplier shall, at its option, replace the non-conforming Products or issue a corresponding credit note.</w:t>
      </w:r>
    </w:p>
    <w:p>
      <w:pPr>
        <w:spacing w:after="90" w:before="220"/>
      </w:pPr>
      <w:r>
        <w:rPr>
          <w:rFonts w:ascii="Calibri" w:cs="Calibri" w:eastAsia="Calibri" w:hAnsi="Calibri"/>
          <w:b/>
          <w:bCs/>
          <w:sz w:val="21"/>
          <w:szCs w:val="21"/>
        </w:rPr>
        <w:t xml:space="preserve">9. Regulatory Compliance</w:t>
      </w:r>
    </w:p>
    <w:p>
      <w:pPr>
        <w:spacing w:after="110"/>
        <w:jc w:val="both"/>
      </w:pPr>
      <w:r>
        <w:rPr>
          <w:rFonts w:ascii="Calibri" w:cs="Calibri" w:eastAsia="Calibri" w:hAnsi="Calibri"/>
          <w:sz w:val="20"/>
          <w:szCs w:val="20"/>
        </w:rPr>
        <w:t xml:space="preserve">Each Party represents and warrants that it holds, and shall maintain throughout the term of this Agreement, all licences, permits and authorisations required under Applicable Laws to perform its obligations hereunder, including Supplier's cultivation and export licences and Buyer's import permit, each as further described in Schedule 3. Each Party shall promptly notify the other in writing of any actual or threatened suspension, revocation or material modification of any such licence or permit, or of any change in Applicable Laws that may affect the Parties' ability to perform this Agreement.</w:t>
      </w:r>
    </w:p>
    <w:p>
      <w:pPr>
        <w:spacing w:after="90" w:before="220"/>
      </w:pPr>
      <w:r>
        <w:rPr>
          <w:rFonts w:ascii="Calibri" w:cs="Calibri" w:eastAsia="Calibri" w:hAnsi="Calibri"/>
          <w:b/>
          <w:bCs/>
          <w:sz w:val="21"/>
          <w:szCs w:val="21"/>
        </w:rPr>
        <w:t xml:space="preserve">10. Intellectual Property</w:t>
      </w:r>
    </w:p>
    <w:p>
      <w:pPr>
        <w:spacing w:after="110"/>
        <w:jc w:val="both"/>
      </w:pPr>
      <w:r>
        <w:rPr>
          <w:rFonts w:ascii="Calibri" w:cs="Calibri" w:eastAsia="Calibri" w:hAnsi="Calibri"/>
          <w:sz w:val="20"/>
          <w:szCs w:val="20"/>
        </w:rPr>
        <w:t xml:space="preserve">Except for the limited rights necessary to receive and use the Products for the purposes permitted under this Agreement, no licence or other right under any patent, trademark, trade secret or other intellectual property right of either Party is granted to the other, whether expressly, by implication, estoppel or otherwise.</w:t>
      </w:r>
    </w:p>
    <w:p>
      <w:pPr>
        <w:spacing w:after="90" w:before="220"/>
      </w:pPr>
      <w:r>
        <w:rPr>
          <w:rFonts w:ascii="Calibri" w:cs="Calibri" w:eastAsia="Calibri" w:hAnsi="Calibri"/>
          <w:b/>
          <w:bCs/>
          <w:sz w:val="21"/>
          <w:szCs w:val="21"/>
        </w:rPr>
        <w:t xml:space="preserve">11. Confidentiality</w:t>
      </w:r>
    </w:p>
    <w:p>
      <w:pPr>
        <w:spacing w:after="110"/>
        <w:jc w:val="both"/>
      </w:pPr>
      <w:r>
        <w:rPr>
          <w:rFonts w:ascii="Calibri" w:cs="Calibri" w:eastAsia="Calibri" w:hAnsi="Calibri"/>
          <w:sz w:val="20"/>
          <w:szCs w:val="20"/>
        </w:rPr>
        <w:t xml:space="preserve">The Parties' obligations with respect to confidential information exchanged in connection with this Agreement are governed by the Mutual Non-Disclosure and Confidentiality Agreement dated 14 March 2026 between the Parties (the "NDA"), which is incorporated herein by reference. Notwithstanding the foregoing or the terms of the NDA, either Party may disclose the pricing, volume and payment terms of this Agreement to its existing or prospective institutional investors, lenders and financing parties, provided that such recipients are bound by confidentiality obligations no less protective than those set out in the NDA.</w:t>
      </w:r>
    </w:p>
    <w:p>
      <w:pPr>
        <w:spacing w:after="90" w:before="220"/>
      </w:pPr>
      <w:r>
        <w:rPr>
          <w:rFonts w:ascii="Calibri" w:cs="Calibri" w:eastAsia="Calibri" w:hAnsi="Calibri"/>
          <w:b/>
          <w:bCs/>
          <w:sz w:val="21"/>
          <w:szCs w:val="21"/>
        </w:rPr>
        <w:t xml:space="preserve">12. Representations and Warranties</w:t>
      </w:r>
    </w:p>
    <w:p>
      <w:pPr>
        <w:spacing w:after="110"/>
        <w:jc w:val="both"/>
      </w:pPr>
      <w:r>
        <w:rPr>
          <w:rFonts w:ascii="Calibri" w:cs="Calibri" w:eastAsia="Calibri" w:hAnsi="Calibri"/>
          <w:sz w:val="20"/>
          <w:szCs w:val="20"/>
        </w:rPr>
        <w:t xml:space="preserve">Each Party represents and warrants that: (a) it has full corporate power and authority to enter into and perform this Agreement; (b) its execution and performance of this Agreement do not violate Applicable Laws or conflict with any other agreement to which it is a party; and (c) it shall comply with all Applicable Laws, including anti-bribery and anti-corruption laws, in connection with this Agreement. Supplier additionally warrants that the Products shall, at the time of delivery, conform to the specifications in Schedule 1 and be free from material defects.</w:t>
      </w:r>
    </w:p>
    <w:p>
      <w:pPr>
        <w:spacing w:after="90" w:before="220"/>
      </w:pPr>
      <w:r>
        <w:rPr>
          <w:rFonts w:ascii="Calibri" w:cs="Calibri" w:eastAsia="Calibri" w:hAnsi="Calibri"/>
          <w:b/>
          <w:bCs/>
          <w:sz w:val="21"/>
          <w:szCs w:val="21"/>
        </w:rPr>
        <w:t xml:space="preserve">13. Indemnification</w:t>
      </w:r>
    </w:p>
    <w:p>
      <w:pPr>
        <w:spacing w:after="110"/>
        <w:jc w:val="both"/>
      </w:pPr>
      <w:r>
        <w:rPr>
          <w:rFonts w:ascii="Calibri" w:cs="Calibri" w:eastAsia="Calibri" w:hAnsi="Calibri"/>
          <w:sz w:val="20"/>
          <w:szCs w:val="20"/>
        </w:rPr>
        <w:t xml:space="preserve">Each Party (the "Indemnifying Party") shall indemnify, defend and hold harmless the other Party from and against any third-party claims, losses and expenses (including reasonable legal fees) arising out of: (a) the Indemnifying Party's breach of this Agreement; (b) the Indemnifying Party's breach of Applicable Laws, including regulatory or licensing violations; or (c) the Indemnifying Party's gross negligence or wilful misconduct.</w:t>
      </w:r>
    </w:p>
    <w:p>
      <w:pPr>
        <w:spacing w:after="90" w:before="220"/>
      </w:pPr>
      <w:r>
        <w:rPr>
          <w:rFonts w:ascii="Calibri" w:cs="Calibri" w:eastAsia="Calibri" w:hAnsi="Calibri"/>
          <w:b/>
          <w:bCs/>
          <w:sz w:val="21"/>
          <w:szCs w:val="21"/>
        </w:rPr>
        <w:t xml:space="preserve">14. Insurance</w:t>
      </w:r>
    </w:p>
    <w:p>
      <w:pPr>
        <w:spacing w:after="110"/>
        <w:jc w:val="both"/>
      </w:pPr>
      <w:r>
        <w:rPr>
          <w:rFonts w:ascii="Calibri" w:cs="Calibri" w:eastAsia="Calibri" w:hAnsi="Calibri"/>
          <w:sz w:val="20"/>
          <w:szCs w:val="20"/>
        </w:rPr>
        <w:t xml:space="preserve">Each Party shall maintain, at its own cost, product liability and general commercial liability insurance with a reputable insurer in an amount not less than €2,000,000 per occurrence, and shall provide evidence of such coverage upon the other Party's reasonable request.</w:t>
      </w:r>
    </w:p>
    <w:p>
      <w:pPr>
        <w:spacing w:after="90" w:before="220"/>
      </w:pPr>
      <w:r>
        <w:rPr>
          <w:rFonts w:ascii="Calibri" w:cs="Calibri" w:eastAsia="Calibri" w:hAnsi="Calibri"/>
          <w:b/>
          <w:bCs/>
          <w:sz w:val="21"/>
          <w:szCs w:val="21"/>
        </w:rPr>
        <w:t xml:space="preserve">15. Limitation of Liability</w:t>
      </w:r>
    </w:p>
    <w:p>
      <w:pPr>
        <w:spacing w:after="110"/>
        <w:jc w:val="both"/>
      </w:pPr>
      <w:r>
        <w:rPr>
          <w:rFonts w:ascii="Calibri" w:cs="Calibri" w:eastAsia="Calibri" w:hAnsi="Calibri"/>
          <w:sz w:val="20"/>
          <w:szCs w:val="20"/>
        </w:rPr>
        <w:t xml:space="preserve">Except for liability arising from (i) a Party's gross negligence or wilful misconduct, (ii) breach of confidentiality obligations, or (iii) indemnification obligations under Section 13, the aggregate liability of either Party arising out of or in connection with this Agreement shall not exceed one hundred percent (100%) of the fees paid or payable under this Agreement in the twelve (12) months preceding the event giving rise to the claim. In no event shall either Party be liable for any indirect, incidental or consequential damages, including loss of profits or business interruption.</w:t>
      </w:r>
    </w:p>
    <w:p>
      <w:pPr>
        <w:spacing w:after="90" w:before="220"/>
      </w:pPr>
      <w:r>
        <w:rPr>
          <w:rFonts w:ascii="Calibri" w:cs="Calibri" w:eastAsia="Calibri" w:hAnsi="Calibri"/>
          <w:b/>
          <w:bCs/>
          <w:sz w:val="21"/>
          <w:szCs w:val="21"/>
        </w:rPr>
        <w:t xml:space="preserve">16. Force Majeure</w:t>
      </w:r>
    </w:p>
    <w:p>
      <w:pPr>
        <w:spacing w:after="110"/>
        <w:jc w:val="both"/>
      </w:pPr>
      <w:r>
        <w:rPr>
          <w:rFonts w:ascii="Calibri" w:cs="Calibri" w:eastAsia="Calibri" w:hAnsi="Calibri"/>
          <w:sz w:val="20"/>
          <w:szCs w:val="20"/>
        </w:rPr>
        <w:t xml:space="preserve">Neither Party shall be liable for any failure or delay in performance (other than payment obligations) caused by events beyond its reasonable control, including natural disasters, war, government action, or the denial or revocation of a required licence or permit not attributable to the affected Party's fault, provided the affected Party gives prompt notice and uses reasonable efforts to mitigate the impact.</w:t>
      </w:r>
    </w:p>
    <w:p>
      <w:pPr>
        <w:spacing w:after="90" w:before="220"/>
      </w:pPr>
      <w:r>
        <w:rPr>
          <w:rFonts w:ascii="Calibri" w:cs="Calibri" w:eastAsia="Calibri" w:hAnsi="Calibri"/>
          <w:b/>
          <w:bCs/>
          <w:sz w:val="21"/>
          <w:szCs w:val="21"/>
        </w:rPr>
        <w:t xml:space="preserve">17. Term and Termination</w:t>
      </w:r>
    </w:p>
    <w:p>
      <w:pPr>
        <w:spacing w:after="110"/>
        <w:jc w:val="both"/>
      </w:pPr>
      <w:r>
        <w:rPr>
          <w:rFonts w:ascii="Calibri" w:cs="Calibri" w:eastAsia="Calibri" w:hAnsi="Calibri"/>
          <w:sz w:val="20"/>
          <w:szCs w:val="20"/>
        </w:rPr>
        <w:t xml:space="preserve">Either Party may terminate this Agreement: (a) for the other Party's material breach not cured within thirty (30) days of written notice; (b) immediately upon the other Party's insolvency, bankruptcy or similar proceeding; or (c) immediately if the other Party's licence or permit necessary to perform this Agreement is suspended or revoked. Upon termination, Buyer shall pay for all Products delivered and accepted, and each Party shall return or destroy the other's Confidential Information in accordance with the NDA.</w:t>
      </w:r>
    </w:p>
    <w:p>
      <w:pPr>
        <w:spacing w:after="90" w:before="220"/>
      </w:pPr>
      <w:r>
        <w:rPr>
          <w:rFonts w:ascii="Calibri" w:cs="Calibri" w:eastAsia="Calibri" w:hAnsi="Calibri"/>
          <w:b/>
          <w:bCs/>
          <w:sz w:val="21"/>
          <w:szCs w:val="21"/>
        </w:rPr>
        <w:t xml:space="preserve">18. Audit Rights</w:t>
      </w:r>
    </w:p>
    <w:p>
      <w:pPr>
        <w:spacing w:after="110"/>
        <w:jc w:val="both"/>
      </w:pPr>
      <w:r>
        <w:rPr>
          <w:rFonts w:ascii="Calibri" w:cs="Calibri" w:eastAsia="Calibri" w:hAnsi="Calibri"/>
          <w:sz w:val="20"/>
          <w:szCs w:val="20"/>
        </w:rPr>
        <w:t xml:space="preserve">Upon reasonable prior notice, and no more than once per calendar year, each Party may audit the other Party's records and facilities relevant to compliance with this Agreement's regulatory and quality obligations, during normal business hours.</w:t>
      </w:r>
    </w:p>
    <w:p>
      <w:pPr>
        <w:spacing w:after="90" w:before="220"/>
      </w:pPr>
      <w:r>
        <w:rPr>
          <w:rFonts w:ascii="Calibri" w:cs="Calibri" w:eastAsia="Calibri" w:hAnsi="Calibri"/>
          <w:b/>
          <w:bCs/>
          <w:sz w:val="21"/>
          <w:szCs w:val="21"/>
        </w:rPr>
        <w:t xml:space="preserve">19. Anti-Bribery; Trade Compliance</w:t>
      </w:r>
    </w:p>
    <w:p>
      <w:pPr>
        <w:spacing w:after="110"/>
        <w:jc w:val="both"/>
      </w:pPr>
      <w:r>
        <w:rPr>
          <w:rFonts w:ascii="Calibri" w:cs="Calibri" w:eastAsia="Calibri" w:hAnsi="Calibri"/>
          <w:sz w:val="20"/>
          <w:szCs w:val="20"/>
        </w:rPr>
        <w:t xml:space="preserve">Each Party shall comply with all applicable anti-bribery, anti-corruption, export control and economic sanctions laws, and shall not engage in any transaction with any person or entity subject to applicable sanctions.</w:t>
      </w:r>
    </w:p>
    <w:p>
      <w:pPr>
        <w:spacing w:after="90" w:before="220"/>
      </w:pPr>
      <w:r>
        <w:rPr>
          <w:rFonts w:ascii="Calibri" w:cs="Calibri" w:eastAsia="Calibri" w:hAnsi="Calibri"/>
          <w:b/>
          <w:bCs/>
          <w:sz w:val="21"/>
          <w:szCs w:val="21"/>
        </w:rPr>
        <w:t xml:space="preserve">20. Data Protection</w:t>
      </w:r>
    </w:p>
    <w:p>
      <w:pPr>
        <w:spacing w:after="110"/>
        <w:jc w:val="both"/>
      </w:pPr>
      <w:r>
        <w:rPr>
          <w:rFonts w:ascii="Calibri" w:cs="Calibri" w:eastAsia="Calibri" w:hAnsi="Calibri"/>
          <w:sz w:val="20"/>
          <w:szCs w:val="20"/>
        </w:rPr>
        <w:t xml:space="preserve">To the extent either Party processes personal data of the other Party's personnel in connection with this Agreement, it shall do so in compliance with applicable data protection laws, including the EU General Data Protection Regulation (GDPR) and applicable Turkish data protection law (KVKK).</w:t>
      </w:r>
    </w:p>
    <w:p>
      <w:pPr>
        <w:spacing w:after="90" w:before="220"/>
      </w:pPr>
      <w:r>
        <w:rPr>
          <w:rFonts w:ascii="Calibri" w:cs="Calibri" w:eastAsia="Calibri" w:hAnsi="Calibri"/>
          <w:b/>
          <w:bCs/>
          <w:sz w:val="21"/>
          <w:szCs w:val="21"/>
        </w:rPr>
        <w:t xml:space="preserve">21. Assignment</w:t>
      </w:r>
    </w:p>
    <w:p>
      <w:pPr>
        <w:spacing w:after="110"/>
        <w:jc w:val="both"/>
      </w:pPr>
      <w:r>
        <w:rPr>
          <w:rFonts w:ascii="Calibri" w:cs="Calibri" w:eastAsia="Calibri" w:hAnsi="Calibri"/>
          <w:sz w:val="20"/>
          <w:szCs w:val="20"/>
        </w:rPr>
        <w:t xml:space="preserve">Neither Party may assign this Agreement without the other Party's prior written consent, except to an Affiliate or a successor in connection with a merger or sale of substantially all relevant assets.</w:t>
      </w:r>
    </w:p>
    <w:p>
      <w:pPr>
        <w:spacing w:after="90" w:before="220"/>
      </w:pPr>
      <w:r>
        <w:rPr>
          <w:rFonts w:ascii="Calibri" w:cs="Calibri" w:eastAsia="Calibri" w:hAnsi="Calibri"/>
          <w:b/>
          <w:bCs/>
          <w:sz w:val="21"/>
          <w:szCs w:val="21"/>
        </w:rPr>
        <w:t xml:space="preserve">22. Notices</w:t>
      </w:r>
    </w:p>
    <w:p>
      <w:pPr>
        <w:spacing w:after="110"/>
        <w:jc w:val="both"/>
      </w:pPr>
      <w:r>
        <w:rPr>
          <w:rFonts w:ascii="Calibri" w:cs="Calibri" w:eastAsia="Calibri" w:hAnsi="Calibri"/>
          <w:sz w:val="20"/>
          <w:szCs w:val="20"/>
        </w:rPr>
        <w:t xml:space="preserve">Notices shall be in writing and sent to the addresses set out in the preamble, by courier or email with confirmation of receipt.</w:t>
      </w:r>
    </w:p>
    <w:p>
      <w:pPr>
        <w:spacing w:after="90" w:before="220"/>
      </w:pPr>
      <w:r>
        <w:rPr>
          <w:rFonts w:ascii="Calibri" w:cs="Calibri" w:eastAsia="Calibri" w:hAnsi="Calibri"/>
          <w:b/>
          <w:bCs/>
          <w:sz w:val="21"/>
          <w:szCs w:val="21"/>
        </w:rPr>
        <w:t xml:space="preserve">23. Governing Law; Dispute Resolution</w:t>
      </w:r>
    </w:p>
    <w:p>
      <w:pPr>
        <w:spacing w:after="110"/>
        <w:jc w:val="both"/>
      </w:pPr>
      <w:r>
        <w:rPr>
          <w:rFonts w:ascii="Calibri" w:cs="Calibri" w:eastAsia="Calibri" w:hAnsi="Calibri"/>
          <w:sz w:val="20"/>
          <w:szCs w:val="20"/>
        </w:rPr>
        <w:t xml:space="preserve">This Agreement is governed by the laws of Germany, excluding its conflict-of-laws rules and the CISG. Any dispute arising out of or in connection with this Agreement shall be finally settled under the Rules of Arbitration of the International Chamber of Commerce (ICC) by one or three arbitrators appointed in accordance with the said Rules. The seat of arbitration shall be Frankfurt am Main, Germany, and the language of arbitration shall be English.</w:t>
      </w:r>
    </w:p>
    <w:p>
      <w:pPr>
        <w:spacing w:after="90" w:before="220"/>
      </w:pPr>
      <w:r>
        <w:rPr>
          <w:rFonts w:ascii="Calibri" w:cs="Calibri" w:eastAsia="Calibri" w:hAnsi="Calibri"/>
          <w:b/>
          <w:bCs/>
          <w:sz w:val="21"/>
          <w:szCs w:val="21"/>
        </w:rPr>
        <w:t xml:space="preserve">24. Entire Agreement; Amendment</w:t>
      </w:r>
    </w:p>
    <w:p>
      <w:pPr>
        <w:spacing w:after="110"/>
        <w:jc w:val="both"/>
      </w:pPr>
      <w:r>
        <w:rPr>
          <w:rFonts w:ascii="Calibri" w:cs="Calibri" w:eastAsia="Calibri" w:hAnsi="Calibri"/>
          <w:sz w:val="20"/>
          <w:szCs w:val="20"/>
        </w:rPr>
        <w:t xml:space="preserve">This Agreement, together with its Schedules and the NDA, constitutes the entire agreement between the Parties regarding its subject matter and supersedes all prior agreements and understandings, written or oral. Amendments must be in writing and signed by authorized representatives of both Parties.</w:t>
      </w:r>
    </w:p>
    <w:p>
      <w:pPr>
        <w:spacing w:after="90" w:before="220"/>
      </w:pPr>
      <w:r>
        <w:rPr>
          <w:rFonts w:ascii="Calibri" w:cs="Calibri" w:eastAsia="Calibri" w:hAnsi="Calibri"/>
          <w:b/>
          <w:bCs/>
          <w:sz w:val="21"/>
          <w:szCs w:val="21"/>
        </w:rPr>
        <w:t xml:space="preserve">25. Severability; Waiver; Counterparts</w:t>
      </w:r>
    </w:p>
    <w:p>
      <w:pPr>
        <w:spacing w:after="110"/>
        <w:jc w:val="both"/>
      </w:pPr>
      <w:r>
        <w:rPr>
          <w:rFonts w:ascii="Calibri" w:cs="Calibri" w:eastAsia="Calibri" w:hAnsi="Calibri"/>
          <w:sz w:val="20"/>
          <w:szCs w:val="20"/>
        </w:rPr>
        <w:t xml:space="preserve">If any provision hereof is held invalid or unenforceable, the remainder of this Agreement shall remain in full force and effect. No waiver of any provision shall be effective unless made in writing and signed by the waiving Party. This Agreement may be executed in counterparts, including by electronic signature, each of which shall be deemed an original.</w:t>
      </w:r>
    </w:p>
    <w:p>
      <w:pPr>
        <w:spacing w:after="110"/>
        <w:jc w:val="both"/>
      </w:pPr>
      <w:r>
        <w:rPr>
          <w:rFonts w:ascii="Calibri" w:cs="Calibri" w:eastAsia="Calibri" w:hAnsi="Calibri"/>
          <w:sz w:val="20"/>
          <w:szCs w:val="20"/>
        </w:rPr>
        <w:t xml:space="preserve">IN WITNESS WHEREOF, the Parties have caused this Agreement, together with Schedules 1–3, to be executed by their duly authorized representatives as of the Effective Date.</w:t>
      </w:r>
    </w:p>
    <w:tbl>
      <w:tblPr>
        <w:tblW w:type="dxa" w:w="9000"/>
        <w:tblBorders>
          <w:top w:val="none"/>
          <w:left w:val="none"/>
          <w:bottom w:val="none"/>
          <w:right w:val="none"/>
          <w:insideH w:val="none"/>
          <w:insideV w:val="none"/>
        </w:tblBorders>
      </w:tblPr>
      <w:tblGrid>
        <w:gridCol w:w="4500"/>
        <w:gridCol w:w="4500"/>
      </w:tblGrid>
      <w:tr>
        <w:tc>
          <w:tcPr>
            <w:tcW w:type="dxa" w:w="4500"/>
          </w:tcPr>
          <w:p>
            <w:pPr>
              <w:spacing w:after="110"/>
              <w:jc w:val="both"/>
            </w:pPr>
            <w:r>
              <w:rPr>
                <w:rFonts w:ascii="Calibri" w:cs="Calibri" w:eastAsia="Calibri" w:hAnsi="Calibri"/>
                <w:sz w:val="20"/>
                <w:szCs w:val="20"/>
              </w:rPr>
              <w:t xml:space="preserve">For and on behalf of Grasbahn GmbH:</w:t>
            </w:r>
          </w:p>
        </w:tc>
        <w:tc>
          <w:tcPr>
            <w:tcW w:type="dxa" w:w="4500"/>
          </w:tcPr>
          <w:p>
            <w:pPr>
              <w:spacing w:after="110"/>
              <w:jc w:val="both"/>
            </w:pPr>
            <w:r>
              <w:rPr>
                <w:rFonts w:ascii="Calibri" w:cs="Calibri" w:eastAsia="Calibri" w:hAnsi="Calibri"/>
                <w:sz w:val="20"/>
                <w:szCs w:val="20"/>
              </w:rPr>
              <w:t xml:space="preserve">For and on behalf of Yeşil Bulut Farma Dış Ticaret A.Ş.:</w:t>
            </w:r>
          </w:p>
        </w:tc>
      </w:tr>
      <w:tr>
        <w:tc>
          <w:tcPr>
            <w:tcW w:type="dxa" w:w="4500"/>
          </w:tcPr>
          <w:p>
            <w:pPr>
              <w:spacing w:after="110"/>
              <w:jc w:val="both"/>
            </w:pPr>
            <w:r>
              <w:rPr>
                <w:rFonts w:ascii="Calibri" w:cs="Calibri" w:eastAsia="Calibri" w:hAnsi="Calibri"/>
                <w:sz w:val="20"/>
                <w:szCs w:val="20"/>
              </w:rPr>
              <w:t xml:space="preserve"> </w:t>
            </w:r>
          </w:p>
          <w:p>
            <w:pPr>
              <w:spacing w:after="110"/>
              <w:jc w:val="both"/>
            </w:pPr>
            <w:r>
              <w:rPr>
                <w:rFonts w:ascii="Calibri" w:cs="Calibri" w:eastAsia="Calibri" w:hAnsi="Calibri"/>
                <w:sz w:val="20"/>
                <w:szCs w:val="20"/>
              </w:rPr>
              <w:t xml:space="preserve">_______________________</w:t>
            </w:r>
          </w:p>
          <w:p>
            <w:pPr>
              <w:spacing w:after="110"/>
              <w:jc w:val="both"/>
            </w:pPr>
            <w:r>
              <w:rPr>
                <w:rFonts w:ascii="Calibri" w:cs="Calibri" w:eastAsia="Calibri" w:hAnsi="Calibri"/>
                <w:sz w:val="20"/>
                <w:szCs w:val="20"/>
              </w:rPr>
              <w:t xml:space="preserve">Dr. Klaus Blattgrün</w:t>
            </w:r>
          </w:p>
          <w:p>
            <w:pPr>
              <w:spacing w:after="110"/>
              <w:jc w:val="both"/>
            </w:pPr>
            <w:r>
              <w:rPr>
                <w:rFonts w:ascii="Calibri" w:cs="Calibri" w:eastAsia="Calibri" w:hAnsi="Calibri"/>
                <w:sz w:val="20"/>
                <w:szCs w:val="20"/>
              </w:rPr>
              <w:t xml:space="preserve">Managing Director (Geschäftsführer)</w:t>
            </w:r>
          </w:p>
        </w:tc>
        <w:tc>
          <w:tcPr>
            <w:tcW w:type="dxa" w:w="4500"/>
          </w:tcPr>
          <w:p>
            <w:pPr>
              <w:spacing w:after="110"/>
              <w:jc w:val="both"/>
            </w:pPr>
            <w:r>
              <w:rPr>
                <w:rFonts w:ascii="Calibri" w:cs="Calibri" w:eastAsia="Calibri" w:hAnsi="Calibri"/>
                <w:sz w:val="20"/>
                <w:szCs w:val="20"/>
              </w:rPr>
              <w:t xml:space="preserve"> </w:t>
            </w:r>
          </w:p>
          <w:p>
            <w:pPr>
              <w:spacing w:after="110"/>
              <w:jc w:val="both"/>
            </w:pPr>
            <w:r>
              <w:rPr>
                <w:rFonts w:ascii="Calibri" w:cs="Calibri" w:eastAsia="Calibri" w:hAnsi="Calibri"/>
                <w:sz w:val="20"/>
                <w:szCs w:val="20"/>
              </w:rPr>
              <w:t xml:space="preserve">_______________________</w:t>
            </w:r>
          </w:p>
          <w:p>
            <w:pPr>
              <w:spacing w:after="110"/>
              <w:jc w:val="both"/>
            </w:pPr>
            <w:r>
              <w:rPr>
                <w:rFonts w:ascii="Calibri" w:cs="Calibri" w:eastAsia="Calibri" w:hAnsi="Calibri"/>
                <w:sz w:val="20"/>
                <w:szCs w:val="20"/>
              </w:rPr>
              <w:t xml:space="preserve">Mr. Deniz Yeşilyurt</w:t>
            </w:r>
          </w:p>
          <w:p>
            <w:pPr>
              <w:spacing w:after="110"/>
              <w:jc w:val="both"/>
            </w:pPr>
            <w:r>
              <w:rPr>
                <w:rFonts w:ascii="Calibri" w:cs="Calibri" w:eastAsia="Calibri" w:hAnsi="Calibri"/>
                <w:sz w:val="20"/>
                <w:szCs w:val="20"/>
              </w:rPr>
              <w:t xml:space="preserve">General Manager</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2026-09-25T21:13:44.230Z</dcterms:created>
  <dcterms:modified xsi:type="dcterms:W3CDTF">2026-09-25T21:13:44.230Z</dcterms:modified>
</cp:coreProperties>
</file>

<file path=docProps/custom.xml><?xml version="1.0" encoding="utf-8"?>
<Properties xmlns="http://schemas.openxmlformats.org/officeDocument/2006/custom-properties" xmlns:vt="http://schemas.openxmlformats.org/officeDocument/2006/docPropsVTypes"/>
</file>