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right"/>
      </w:pPr>
      <w:r>
        <w:rPr>
          <w:rFonts w:ascii="Calibri" w:cs="Calibri" w:eastAsia="Calibri" w:hAnsi="Calibri"/>
          <w:i/>
          <w:iCs/>
          <w:color w:val="888888"/>
          <w:sz w:val="16"/>
          <w:szCs w:val="16"/>
        </w:rPr>
        <w:t xml:space="preserve">Document 2 (Schedule 3 to MSA) of 5 — Case File: GRB–YBF Cannabis Supply</w:t>
      </w:r>
    </w:p>
    <w:p>
      <w:pPr>
        <w:pStyle w:val="Heading1"/>
        <w:spacing w:after="200"/>
      </w:pPr>
      <w:r>
        <w:rPr>
          <w:rFonts w:ascii="Calibri" w:cs="Calibri" w:eastAsia="Calibri" w:hAnsi="Calibri"/>
          <w:b/>
          <w:bCs/>
          <w:sz w:val="26"/>
          <w:szCs w:val="26"/>
        </w:rPr>
        <w:t xml:space="preserve">KYC &amp; Regulatory Compliance Annex</w:t>
      </w:r>
    </w:p>
    <w:p>
      <w:pPr>
        <w:spacing w:after="110"/>
        <w:jc w:val="both"/>
      </w:pPr>
      <w:r>
        <w:rPr>
          <w:rFonts w:ascii="Calibri" w:cs="Calibri" w:eastAsia="Calibri" w:hAnsi="Calibri"/>
          <w:sz w:val="20"/>
          <w:szCs w:val="20"/>
        </w:rPr>
        <w:t xml:space="preserve">Prepared by: Compliance Department, Grasbahn GmbH   |   Status: Completed   |   Date: 02 September 2026</w:t>
      </w:r>
    </w:p>
    <w:p>
      <w:pPr>
        <w:spacing w:after="90" w:before="220"/>
      </w:pPr>
      <w:r>
        <w:rPr>
          <w:rFonts w:ascii="Calibri" w:cs="Calibri" w:eastAsia="Calibri" w:hAnsi="Calibri"/>
          <w:b/>
          <w:bCs/>
          <w:sz w:val="21"/>
          <w:szCs w:val="21"/>
        </w:rPr>
        <w:t xml:space="preserve">A. Supplier — Grasbahn GmbH (Germany)</w:t>
      </w:r>
    </w:p>
    <w:p>
      <w:pPr>
        <w:pStyle w:val="ListParagraph"/>
        <w:numPr>
          <w:ilvl w:val="0"/>
          <w:numId w:val="1"/>
        </w:numPr>
        <w:spacing w:after="60"/>
      </w:pPr>
      <w:r>
        <w:rPr>
          <w:rFonts w:ascii="Calibri" w:cs="Calibri" w:eastAsia="Calibri" w:hAnsi="Calibri"/>
          <w:sz w:val="20"/>
          <w:szCs w:val="20"/>
        </w:rPr>
        <w:t xml:space="preserve">Registered office: Bundesallee 12, 42103 Wuppertal, Germany; Commercial Register (Handelsregister) of the Amtsgericht Wuppertal, HRB 24680.</w:t>
      </w:r>
    </w:p>
    <w:p>
      <w:pPr>
        <w:pStyle w:val="ListParagraph"/>
        <w:numPr>
          <w:ilvl w:val="0"/>
          <w:numId w:val="1"/>
        </w:numPr>
        <w:spacing w:after="60"/>
      </w:pPr>
      <w:r>
        <w:rPr>
          <w:rFonts w:ascii="Calibri" w:cs="Calibri" w:eastAsia="Calibri" w:hAnsi="Calibri"/>
          <w:sz w:val="20"/>
          <w:szCs w:val="20"/>
        </w:rPr>
        <w:t xml:space="preserve">Cultivation &amp; Manufacturing Licence for Narcotic Drugs, issued by BfArM (Bundesinstitut für Arzneimittel und Medizinprodukte) under the German Narcotics Act (Betäubungsmittelgesetz, BtMG), Licence No. BfArM-NRC-4471-DE (originally issued 15 March 2022).</w:t>
      </w:r>
    </w:p>
    <w:p>
      <w:pPr>
        <w:pStyle w:val="ListParagraph"/>
        <w:numPr>
          <w:ilvl w:val="0"/>
          <w:numId w:val="1"/>
        </w:numPr>
        <w:spacing w:after="60"/>
      </w:pPr>
      <w:r>
        <w:rPr>
          <w:rFonts w:ascii="Calibri" w:cs="Calibri" w:eastAsia="Calibri" w:hAnsi="Calibri"/>
          <w:sz w:val="20"/>
          <w:szCs w:val="20"/>
        </w:rPr>
        <w:t xml:space="preserve">Licence valid until: 15 March 2027. Renewal application: not yet filed.</w:t>
      </w:r>
    </w:p>
    <w:p>
      <w:pPr>
        <w:pStyle w:val="ListParagraph"/>
        <w:numPr>
          <w:ilvl w:val="0"/>
          <w:numId w:val="1"/>
        </w:numPr>
        <w:spacing w:after="60"/>
      </w:pPr>
      <w:r>
        <w:rPr>
          <w:rFonts w:ascii="Calibri" w:cs="Calibri" w:eastAsia="Calibri" w:hAnsi="Calibri"/>
          <w:sz w:val="20"/>
          <w:szCs w:val="20"/>
        </w:rPr>
        <w:t xml:space="preserve">Compliance note: per the Compliance Department's records, BfArM's processing time for narcotics cultivation/manufacturing licence renewals has historically been nine (9) to twelve (12) months from the date of filing.</w:t>
      </w:r>
    </w:p>
    <w:p>
      <w:pPr>
        <w:pStyle w:val="ListParagraph"/>
        <w:numPr>
          <w:ilvl w:val="0"/>
          <w:numId w:val="1"/>
        </w:numPr>
        <w:spacing w:after="60"/>
      </w:pPr>
      <w:r>
        <w:rPr>
          <w:rFonts w:ascii="Calibri" w:cs="Calibri" w:eastAsia="Calibri" w:hAnsi="Calibri"/>
          <w:sz w:val="20"/>
          <w:szCs w:val="20"/>
        </w:rPr>
        <w:t xml:space="preserve">Sanctions / PEP screening: no adverse findings.</w:t>
      </w:r>
    </w:p>
    <w:p>
      <w:pPr>
        <w:spacing w:after="90" w:before="220"/>
      </w:pPr>
      <w:r>
        <w:rPr>
          <w:rFonts w:ascii="Calibri" w:cs="Calibri" w:eastAsia="Calibri" w:hAnsi="Calibri"/>
          <w:b/>
          <w:bCs/>
          <w:sz w:val="21"/>
          <w:szCs w:val="21"/>
        </w:rPr>
        <w:t xml:space="preserve">B. Buyer — Yeşil Bulut Farma Dış Ticaret A.Ş. (Turkey)</w:t>
      </w:r>
    </w:p>
    <w:p>
      <w:pPr>
        <w:pStyle w:val="ListParagraph"/>
        <w:numPr>
          <w:ilvl w:val="0"/>
          <w:numId w:val="1"/>
        </w:numPr>
        <w:spacing w:after="60"/>
      </w:pPr>
      <w:r>
        <w:rPr>
          <w:rFonts w:ascii="Calibri" w:cs="Calibri" w:eastAsia="Calibri" w:hAnsi="Calibri"/>
          <w:sz w:val="20"/>
          <w:szCs w:val="20"/>
        </w:rPr>
        <w:t xml:space="preserve">Registered office: Maslak Mahallesi, Büyükdere Caddesi No. 201, 34485 Sarıyer, Istanbul, Turkey; Istanbul Trade Registry under No. 487123.</w:t>
      </w:r>
    </w:p>
    <w:p>
      <w:pPr>
        <w:pStyle w:val="ListParagraph"/>
        <w:numPr>
          <w:ilvl w:val="0"/>
          <w:numId w:val="1"/>
        </w:numPr>
        <w:spacing w:after="60"/>
      </w:pPr>
      <w:r>
        <w:rPr>
          <w:rFonts w:ascii="Calibri" w:cs="Calibri" w:eastAsia="Calibri" w:hAnsi="Calibri"/>
          <w:sz w:val="20"/>
          <w:szCs w:val="20"/>
        </w:rPr>
        <w:t xml:space="preserve">Turkish Ministry of Health — İthal İzin Belgesi (Import Permit) for Medicinal Cannabis Raw Material, Permit No. TR-SB-MOH-2025-118.</w:t>
      </w:r>
    </w:p>
    <w:p>
      <w:pPr>
        <w:pStyle w:val="ListParagraph"/>
        <w:numPr>
          <w:ilvl w:val="0"/>
          <w:numId w:val="1"/>
        </w:numPr>
        <w:spacing w:after="60"/>
      </w:pPr>
      <w:r>
        <w:rPr>
          <w:rFonts w:ascii="Calibri" w:cs="Calibri" w:eastAsia="Calibri" w:hAnsi="Calibri"/>
          <w:sz w:val="20"/>
          <w:szCs w:val="20"/>
        </w:rPr>
        <w:t xml:space="preserve">Permit scope: authorises import of raw cannabis extract SOLELY for processing and subsequent re-export outside the Republic of Turkey. Domestic sale or distribution of the raw material or resulting preparations within Turkey is NOT covered by this permit, per Law No. 2313 on the Control of Narcotic Drugs, as amended.</w:t>
      </w:r>
    </w:p>
    <w:p>
      <w:pPr>
        <w:pStyle w:val="ListParagraph"/>
        <w:numPr>
          <w:ilvl w:val="0"/>
          <w:numId w:val="1"/>
        </w:numPr>
        <w:spacing w:after="60"/>
      </w:pPr>
      <w:r>
        <w:rPr>
          <w:rFonts w:ascii="Calibri" w:cs="Calibri" w:eastAsia="Calibri" w:hAnsi="Calibri"/>
          <w:sz w:val="20"/>
          <w:szCs w:val="20"/>
        </w:rPr>
        <w:t xml:space="preserve">Corporate registration: verified, in good standing.</w:t>
      </w:r>
    </w:p>
    <w:p>
      <w:pPr>
        <w:pStyle w:val="ListParagraph"/>
        <w:numPr>
          <w:ilvl w:val="0"/>
          <w:numId w:val="1"/>
        </w:numPr>
        <w:spacing w:after="60"/>
      </w:pPr>
      <w:r>
        <w:rPr>
          <w:rFonts w:ascii="Calibri" w:cs="Calibri" w:eastAsia="Calibri" w:hAnsi="Calibri"/>
          <w:sz w:val="20"/>
          <w:szCs w:val="20"/>
        </w:rPr>
        <w:t xml:space="preserve">Ultimate Beneficial Owners: disclosed and screened; no adverse findings.</w:t>
      </w:r>
    </w:p>
    <w:p>
      <w:pPr>
        <w:spacing w:after="90" w:before="220"/>
      </w:pPr>
      <w:r>
        <w:rPr>
          <w:rFonts w:ascii="Calibri" w:cs="Calibri" w:eastAsia="Calibri" w:hAnsi="Calibri"/>
          <w:b/>
          <w:bCs/>
          <w:sz w:val="21"/>
          <w:szCs w:val="21"/>
        </w:rPr>
        <w:t xml:space="preserve">C. Compliance Recommendation</w:t>
      </w:r>
    </w:p>
    <w:p>
      <w:pPr>
        <w:spacing w:after="110"/>
        <w:jc w:val="both"/>
      </w:pPr>
      <w:r>
        <w:rPr>
          <w:rFonts w:ascii="Calibri" w:cs="Calibri" w:eastAsia="Calibri" w:hAnsi="Calibri"/>
          <w:sz w:val="20"/>
          <w:szCs w:val="20"/>
        </w:rPr>
        <w:t xml:space="preserve">Buyer's stated business model (see commercial discussions and draft Master Supply Agreement, Clause 3) should be reconciled against the scope of Permit No. TR-SB-MOH-2025-118 before execution. Any domestic distribution plan in Turkey would fall outside the permit's authorised use and may expose both Parties to regulatory and export-control liability. Separately, given the multi-year term contemplated under the draft Master Supply Agreement, Supplier's licence renewal timeline should be confirmed against the current expiry date before committing to long-term delivery volumes.</w:t>
      </w:r>
    </w:p>
    <w:p>
      <w:pPr>
        <w:pBdr>
          <w:top w:val="single" w:color="AAAAAA" w:sz="4"/>
        </w:pBdr>
        <w:spacing w:before="300"/>
      </w:pPr>
      <w:r>
        <w:rPr>
          <w:rFonts w:ascii="Calibri" w:cs="Calibri" w:eastAsia="Calibri" w:hAnsi="Calibri"/>
          <w:i/>
          <w:iCs/>
          <w:color w:val="666666"/>
          <w:sz w:val="16"/>
          <w:szCs w:val="16"/>
        </w:rPr>
        <w:t xml:space="preserve">Internal annex — not to be shared outside the deal team without Compliance sign-off.</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2026-09-25T21:13:44.227Z</dcterms:created>
  <dcterms:modified xsi:type="dcterms:W3CDTF">2026-09-25T21:13:44.227Z</dcterms:modified>
</cp:coreProperties>
</file>

<file path=docProps/custom.xml><?xml version="1.0" encoding="utf-8"?>
<Properties xmlns="http://schemas.openxmlformats.org/officeDocument/2006/custom-properties" xmlns:vt="http://schemas.openxmlformats.org/officeDocument/2006/docPropsVTypes"/>
</file>